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BBB" w:rsidRPr="000C106F" w:rsidRDefault="00EA3BBB" w:rsidP="00EA3BBB">
      <w:pPr>
        <w:spacing w:after="160" w:line="259" w:lineRule="auto"/>
        <w:ind w:right="-284"/>
        <w:jc w:val="both"/>
        <w:rPr>
          <w:rFonts w:cs="Calibri"/>
          <w:highlight w:val="lightGray"/>
          <w:u w:val="single"/>
        </w:rPr>
      </w:pP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PRILOG II DOKUMENTACIJE O NABAVI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IZJAVA O NEPOSTOJANJU OSNOVA ZA ISKLJUČENJE</w:t>
      </w:r>
    </w:p>
    <w:p w:rsidR="00EA3BBB" w:rsidRPr="000C106F" w:rsidRDefault="00EA3BBB" w:rsidP="00EA3BBB">
      <w:pPr>
        <w:spacing w:after="0" w:line="240" w:lineRule="auto"/>
        <w:ind w:right="-2"/>
        <w:jc w:val="center"/>
        <w:rPr>
          <w:rFonts w:cs="Calibri"/>
          <w:b/>
        </w:rPr>
      </w:pPr>
      <w:r w:rsidRPr="000C106F">
        <w:rPr>
          <w:rFonts w:cs="Calibri"/>
          <w:bCs/>
          <w:lang w:bidi="hr-HR"/>
        </w:rPr>
        <w:t xml:space="preserve">Naziv i broj nabave: </w:t>
      </w:r>
      <w:r w:rsidRPr="000C106F">
        <w:rPr>
          <w:rFonts w:cs="Calibri"/>
          <w:b/>
        </w:rPr>
        <w:t xml:space="preserve">GB / 6 SER – Izrada i postavljanje </w:t>
      </w:r>
      <w:proofErr w:type="spellStart"/>
      <w:r w:rsidRPr="000C106F">
        <w:rPr>
          <w:rFonts w:cs="Calibri"/>
          <w:b/>
        </w:rPr>
        <w:t>Land</w:t>
      </w:r>
      <w:proofErr w:type="spellEnd"/>
      <w:r w:rsidRPr="000C106F">
        <w:rPr>
          <w:rFonts w:cs="Calibri"/>
          <w:b/>
        </w:rPr>
        <w:t xml:space="preserve"> art instalacija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</w:rPr>
      </w:pPr>
    </w:p>
    <w:p w:rsidR="00EA3BBB" w:rsidRPr="000C106F" w:rsidRDefault="00EA3BBB" w:rsidP="00EA3BBB">
      <w:pPr>
        <w:tabs>
          <w:tab w:val="left" w:pos="567"/>
        </w:tabs>
        <w:spacing w:after="0" w:line="240" w:lineRule="auto"/>
        <w:jc w:val="both"/>
        <w:rPr>
          <w:rFonts w:cs="Calibri"/>
          <w:bCs/>
        </w:rPr>
      </w:pPr>
      <w:r w:rsidRPr="000C106F">
        <w:rPr>
          <w:rFonts w:cs="Calibri"/>
          <w:bCs/>
        </w:rPr>
        <w:t>Radi dokazivanja nepostojanja situacija opisanih točkom 3 Dokumentacije o nabavi, a koje bi mogle dovesti do isključenja ponuditelja iz postupka nabave, dajem</w:t>
      </w:r>
    </w:p>
    <w:p w:rsidR="00EA3BBB" w:rsidRPr="000C106F" w:rsidRDefault="00EA3BBB" w:rsidP="00EA3BBB">
      <w:pPr>
        <w:jc w:val="both"/>
        <w:rPr>
          <w:rFonts w:cs="Calibri"/>
        </w:rPr>
      </w:pPr>
    </w:p>
    <w:p w:rsidR="00EA3BBB" w:rsidRPr="000C106F" w:rsidRDefault="00EA3BBB" w:rsidP="00EA3BBB">
      <w:pPr>
        <w:jc w:val="center"/>
        <w:rPr>
          <w:rFonts w:cs="Calibri"/>
          <w:b/>
        </w:rPr>
      </w:pPr>
      <w:r w:rsidRPr="000C106F">
        <w:rPr>
          <w:rFonts w:cs="Calibri"/>
          <w:b/>
        </w:rPr>
        <w:t>I Z J A V U</w:t>
      </w:r>
    </w:p>
    <w:p w:rsidR="00EA3BBB" w:rsidRPr="000C106F" w:rsidRDefault="00EA3BBB" w:rsidP="00EA3BBB">
      <w:pPr>
        <w:spacing w:after="0" w:line="240" w:lineRule="auto"/>
        <w:jc w:val="both"/>
        <w:rPr>
          <w:rFonts w:cs="Calibri"/>
        </w:rPr>
      </w:pPr>
      <w:r w:rsidRPr="000C106F">
        <w:rPr>
          <w:rFonts w:cs="Calibri"/>
        </w:rPr>
        <w:t>kojom ja _______________________________</w:t>
      </w:r>
      <w:r>
        <w:rPr>
          <w:rFonts w:cs="Calibri"/>
        </w:rPr>
        <w:t>____</w:t>
      </w:r>
      <w:r w:rsidRPr="000C106F">
        <w:rPr>
          <w:rFonts w:cs="Calibri"/>
        </w:rPr>
        <w:t>__ iz __________________________________</w:t>
      </w:r>
    </w:p>
    <w:p w:rsidR="00EA3BBB" w:rsidRPr="000C106F" w:rsidRDefault="00EA3BBB" w:rsidP="00EA3BBB">
      <w:pPr>
        <w:spacing w:after="0" w:line="240" w:lineRule="auto"/>
        <w:ind w:left="1416" w:firstLine="708"/>
        <w:jc w:val="both"/>
        <w:rPr>
          <w:rFonts w:cs="Calibri"/>
        </w:rPr>
      </w:pPr>
      <w:r w:rsidRPr="000C106F">
        <w:rPr>
          <w:rFonts w:cs="Calibri"/>
        </w:rPr>
        <w:t xml:space="preserve">(ime i prezime) </w:t>
      </w:r>
      <w:r w:rsidRPr="000C106F">
        <w:rPr>
          <w:rFonts w:cs="Calibri"/>
        </w:rPr>
        <w:tab/>
      </w:r>
      <w:r w:rsidRPr="000C106F">
        <w:rPr>
          <w:rFonts w:cs="Calibri"/>
        </w:rPr>
        <w:tab/>
      </w:r>
      <w:r w:rsidRPr="000C106F">
        <w:rPr>
          <w:rFonts w:cs="Calibri"/>
        </w:rPr>
        <w:tab/>
      </w:r>
      <w:r w:rsidRPr="000C106F">
        <w:rPr>
          <w:rFonts w:cs="Calibri"/>
        </w:rPr>
        <w:tab/>
        <w:t>(adresa stanovanja)</w:t>
      </w:r>
    </w:p>
    <w:p w:rsidR="00EA3BBB" w:rsidRPr="000C106F" w:rsidRDefault="00EA3BBB" w:rsidP="00EA3BBB">
      <w:pPr>
        <w:jc w:val="both"/>
        <w:rPr>
          <w:rFonts w:cs="Calibri"/>
        </w:rPr>
      </w:pPr>
    </w:p>
    <w:p w:rsidR="00EA3BBB" w:rsidRPr="000C106F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broj osobne iskaznice ______________________ izdane od_________________________________</w:t>
      </w:r>
      <w:r>
        <w:rPr>
          <w:rFonts w:cs="Calibri"/>
        </w:rPr>
        <w:t>_</w:t>
      </w:r>
    </w:p>
    <w:p w:rsidR="00EA3BBB" w:rsidRPr="000C106F" w:rsidRDefault="00EA3BBB" w:rsidP="00EA3BBB">
      <w:pPr>
        <w:rPr>
          <w:rFonts w:cs="Calibri"/>
        </w:rPr>
      </w:pPr>
    </w:p>
    <w:p w:rsidR="00EA3BBB" w:rsidRPr="000C106F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kao po zakonu ovlaštena osoba za zastupanje pravne osobe gospodarskog subjekta</w:t>
      </w:r>
    </w:p>
    <w:p w:rsidR="00EA3BBB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__________________________________________________________________________________</w:t>
      </w:r>
    </w:p>
    <w:p w:rsidR="00EA3BBB" w:rsidRPr="000C106F" w:rsidRDefault="00EA3BBB" w:rsidP="00EA3BBB">
      <w:pPr>
        <w:jc w:val="both"/>
        <w:rPr>
          <w:rFonts w:cs="Calibri"/>
        </w:rPr>
      </w:pPr>
    </w:p>
    <w:p w:rsidR="00EA3BBB" w:rsidRPr="000C106F" w:rsidRDefault="00EA3BBB" w:rsidP="00EA3BBB">
      <w:pPr>
        <w:spacing w:after="0" w:line="240" w:lineRule="auto"/>
        <w:jc w:val="both"/>
        <w:rPr>
          <w:rFonts w:cs="Calibri"/>
        </w:rPr>
      </w:pPr>
      <w:r w:rsidRPr="000C106F">
        <w:rPr>
          <w:rFonts w:cs="Calibri"/>
        </w:rPr>
        <w:t>__________________________________________________________________________________</w:t>
      </w:r>
    </w:p>
    <w:p w:rsidR="00EA3BBB" w:rsidRPr="000C106F" w:rsidRDefault="00EA3BBB" w:rsidP="00EA3BBB">
      <w:pPr>
        <w:spacing w:after="0" w:line="240" w:lineRule="auto"/>
        <w:jc w:val="center"/>
        <w:rPr>
          <w:rFonts w:cs="Calibri"/>
        </w:rPr>
      </w:pPr>
      <w:r w:rsidRPr="000C106F">
        <w:rPr>
          <w:rFonts w:cs="Calibri"/>
        </w:rPr>
        <w:t>(naziv i adresa gospodarskog subjekta, OIB)</w:t>
      </w:r>
    </w:p>
    <w:p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</w:p>
    <w:p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  <w:r w:rsidRPr="000C106F">
        <w:rPr>
          <w:rFonts w:cs="Calibri"/>
        </w:rPr>
        <w:t>pod materijalnom i kaznenom odgovornošću izjavljujem za sebe i za gospodarski subjekt:</w:t>
      </w:r>
    </w:p>
    <w:p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  <w:r w:rsidRPr="000C106F">
        <w:rPr>
          <w:rFonts w:cs="Calibri"/>
        </w:rPr>
        <w:t xml:space="preserve">1. da protiv mene osobno niti protiv gospodarskog subjekta kojeg zastupam nije izrečena pravomoćna osuđujuća presuda za bilo koje od dolje navedenih kaznenih djela odnosno </w:t>
      </w:r>
      <w:r w:rsidRPr="000C106F">
        <w:rPr>
          <w:rFonts w:cs="Calibri"/>
          <w:bCs/>
          <w:lang w:bidi="hr-HR"/>
        </w:rPr>
        <w:t xml:space="preserve">za odgovarajuća kaznena djela koja, prema nacionalnim propisima države poslovnog </w:t>
      </w:r>
      <w:proofErr w:type="spellStart"/>
      <w:r w:rsidRPr="000C106F">
        <w:rPr>
          <w:rFonts w:cs="Calibri"/>
          <w:bCs/>
          <w:lang w:bidi="hr-HR"/>
        </w:rPr>
        <w:t>nastana</w:t>
      </w:r>
      <w:proofErr w:type="spellEnd"/>
      <w:r w:rsidRPr="000C106F">
        <w:rPr>
          <w:rFonts w:cs="Calibri"/>
          <w:bCs/>
          <w:lang w:bidi="hr-HR"/>
        </w:rPr>
        <w:t xml:space="preserve"> gospodarskog subjekta, odnosno države čiji sam državljanin: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sudjelovanje u zločinačkoj organizaciji, na temelju </w:t>
      </w: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328. (zločinačko udruženje) i članka 329. (počinjenje kaznenog djela u sastavu zločinačkog udruženja)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333. (udruživanje za počinjenje kaznenih djela), iz Kaznenog zakona („Narodne novine“, br. 110/97., 27/98., 50/00., 129/00., 51/01., 111/03., 190/03., 105/04., 84/05., 71/06., 110/07., 152/08., 57/11., 77/11. i 143/12.)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korupciju, na temelju </w:t>
      </w:r>
    </w:p>
    <w:p w:rsidR="00776CED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- članka 252. (primanje mita u gospodarskom poslovanju), članka 253. (davanje mita u gospodarskom poslovanju), članka 254. (zlouporaba u postupku javne nabave), članka 291. (zlouporaba položaja i </w:t>
      </w:r>
    </w:p>
    <w:p w:rsidR="00776CED" w:rsidRDefault="00776CE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:rsidR="00776CED" w:rsidRDefault="00776CE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ovlasti), članka 292. (nezakonito pogodovanje), članka 293. (primanje mita), članka 294. (davanje mita), članka 295. (trgovanje utjecajem) i članka 296. (davanje mita za trgovanje utjecajem)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 i 143/12.)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prijevaru, na temelju</w:t>
      </w: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236. (prijevara), članka 247. (prijevara u gospodarskom poslovanju), članka 256. (utaja poreza ili carine) i članka 258. (subvencijska prijevara)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224. (prijevara), članka 293. (prijevara u gospodarskom poslovanju) i članka 286. (utaja poreza i drugih davanja) iz Kaznenog zakona („Narodne novine“, br. 110/97., 27/98., 50/00., 129/00., 51/01., 111/03., 190/03., 105/04., 84/05., 71/06., 110/07., 152/08., 57/11., 77/11. i 143/12.)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terorizam ili kaznena djela povezana s terorističkim aktivnostima, na temelju</w:t>
      </w: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97. (terorizam) članka 99. (javno poticanje na terorizam), članka 100. (novačenje za terorizam), članka 101. (obuka za terorizam) i članka 102. (terorističko udruženje)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169. (terorizam), članka 169.a (javno poticanje na terorizam) i članka 169.b (novačenje i obuka za terorizam) iz Kaznenog zakona („Narodne novine“, br. 110/97., 27/98., 50/00., 129/00., 51/01., 111/03., 190/03., 105/04., 84/05., 71/06., 110/07., 152/08., 57/11., 77/11. i 143/12.)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pranje novca ili financiranje terorizma, na temelju </w:t>
      </w: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98. (financiranje terorizma) i članka 265. (pranje novca)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279. (pranje novca) iz Kaznenog zakona („Narodne novine“, br. 110/97., 27/98., 50/00., 129/00., 51/01., 111/03., 190/03., 105/04., 84/05., 71/06., 110/07., 152/08., 57/11., 77/11. i 143/12.)</w:t>
      </w:r>
    </w:p>
    <w:p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dječji rad ili druge oblike trgovanja ljudima, na temelju </w:t>
      </w:r>
    </w:p>
    <w:p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106. (trgovanje ljudima) Kaznenog zakona</w:t>
      </w:r>
    </w:p>
    <w:p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175. (trgovanje ljudima i ropstvo) iz Kaznenog zakona („Narodne novine“, br. 110/97., 27/98., 50/00., 129/00., 51/01., 111/03., 190/03., 105/04., 84/05., 71/06., 110/07., 152/08., 57/11., 77/11. i 143/12.), ili</w:t>
      </w:r>
    </w:p>
    <w:p w:rsidR="00EA3BBB" w:rsidRPr="000C106F" w:rsidRDefault="00EA3BBB" w:rsidP="00EA3BBB">
      <w:pPr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2. gospodarski subjekt koji nema poslovni </w:t>
      </w:r>
      <w:proofErr w:type="spellStart"/>
      <w:r w:rsidRPr="000C106F">
        <w:rPr>
          <w:rFonts w:cs="Calibri"/>
          <w:bCs/>
          <w:lang w:bidi="hr-HR"/>
        </w:rPr>
        <w:t>nastan</w:t>
      </w:r>
      <w:proofErr w:type="spellEnd"/>
      <w:r w:rsidRPr="000C106F">
        <w:rPr>
          <w:rFonts w:cs="Calibri"/>
          <w:bCs/>
          <w:lang w:bidi="hr-HR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0C106F">
        <w:rPr>
          <w:rFonts w:cs="Calibri"/>
          <w:bCs/>
          <w:lang w:bidi="hr-HR"/>
        </w:rPr>
        <w:t>podtočaka</w:t>
      </w:r>
      <w:proofErr w:type="spellEnd"/>
      <w:r w:rsidRPr="000C106F">
        <w:rPr>
          <w:rFonts w:cs="Calibri"/>
          <w:bCs/>
          <w:lang w:bidi="hr-HR"/>
        </w:rPr>
        <w:t xml:space="preserve"> od a) do f) ovoga stavka i za odgovarajuća kaznena djela koja, prema nacionalnim propisima države poslovnog </w:t>
      </w:r>
      <w:proofErr w:type="spellStart"/>
      <w:r w:rsidRPr="000C106F">
        <w:rPr>
          <w:rFonts w:cs="Calibri"/>
          <w:bCs/>
          <w:lang w:bidi="hr-HR"/>
        </w:rPr>
        <w:t>nastana</w:t>
      </w:r>
      <w:proofErr w:type="spellEnd"/>
      <w:r w:rsidRPr="000C106F">
        <w:rPr>
          <w:rFonts w:cs="Calibri"/>
          <w:bCs/>
          <w:lang w:bidi="hr-HR"/>
        </w:rPr>
        <w:t xml:space="preserve"> gospodarskog subjekta, odnosno države čiji je osoba državljanin, obuhvaćaju razloge za isključenje iz članka 57. stavka 1. točaka od (a) do (f) Direktive 2014/24/EU.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EA3BBB" w:rsidRPr="000C106F" w:rsidRDefault="00EA3BBB" w:rsidP="00EA3BBB">
      <w:pPr>
        <w:spacing w:after="0" w:line="240" w:lineRule="auto"/>
        <w:ind w:right="-284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>3. sam ispunio obveze plaćanja dospjelih poreznih obveza i obveza za mirovinsko i zdravstveno osiguranje:</w:t>
      </w:r>
    </w:p>
    <w:p w:rsidR="00EA3BBB" w:rsidRPr="000C106F" w:rsidRDefault="00EA3BBB" w:rsidP="00EA3BBB">
      <w:pPr>
        <w:pStyle w:val="Odlomakpopisa"/>
        <w:spacing w:after="0" w:line="240" w:lineRule="auto"/>
        <w:ind w:left="284" w:right="-284"/>
        <w:contextualSpacing w:val="0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 xml:space="preserve">-u Republici Hrvatskoj, ako gospodarski subjekt ima poslovni </w:t>
      </w:r>
      <w:proofErr w:type="spellStart"/>
      <w:r w:rsidRPr="000C106F">
        <w:rPr>
          <w:rFonts w:eastAsia="Times New Roman" w:cs="Calibri"/>
          <w:lang w:eastAsia="hr-HR"/>
        </w:rPr>
        <w:t>nastan</w:t>
      </w:r>
      <w:proofErr w:type="spellEnd"/>
      <w:r w:rsidRPr="000C106F">
        <w:rPr>
          <w:rFonts w:eastAsia="Times New Roman" w:cs="Calibri"/>
          <w:lang w:eastAsia="hr-HR"/>
        </w:rPr>
        <w:t xml:space="preserve"> u Republici Hrvatskoj, ili</w:t>
      </w:r>
    </w:p>
    <w:p w:rsidR="00EA3BBB" w:rsidRPr="000C106F" w:rsidRDefault="00EA3BBB" w:rsidP="00EA3BBB">
      <w:pPr>
        <w:pStyle w:val="Odlomakpopisa"/>
        <w:spacing w:after="0" w:line="240" w:lineRule="auto"/>
        <w:ind w:left="284" w:right="-284"/>
        <w:contextualSpacing w:val="0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 xml:space="preserve">-u Republici Hrvatskoj ili u državi poslovnog </w:t>
      </w:r>
      <w:proofErr w:type="spellStart"/>
      <w:r w:rsidRPr="000C106F">
        <w:rPr>
          <w:rFonts w:eastAsia="Times New Roman" w:cs="Calibri"/>
          <w:lang w:eastAsia="hr-HR"/>
        </w:rPr>
        <w:t>nastana</w:t>
      </w:r>
      <w:proofErr w:type="spellEnd"/>
      <w:r w:rsidRPr="000C106F">
        <w:rPr>
          <w:rFonts w:eastAsia="Times New Roman" w:cs="Calibri"/>
          <w:lang w:eastAsia="hr-HR"/>
        </w:rPr>
        <w:t xml:space="preserve"> gospodarskog subjekta, ako gospodarski subjekt nema poslovni </w:t>
      </w:r>
      <w:proofErr w:type="spellStart"/>
      <w:r w:rsidRPr="000C106F">
        <w:rPr>
          <w:rFonts w:eastAsia="Times New Roman" w:cs="Calibri"/>
          <w:lang w:eastAsia="hr-HR"/>
        </w:rPr>
        <w:t>nastan</w:t>
      </w:r>
      <w:proofErr w:type="spellEnd"/>
      <w:r w:rsidRPr="000C106F">
        <w:rPr>
          <w:rFonts w:eastAsia="Times New Roman" w:cs="Calibri"/>
          <w:lang w:eastAsia="hr-HR"/>
        </w:rPr>
        <w:t xml:space="preserve"> u Republici Hrvatskoj. </w:t>
      </w:r>
    </w:p>
    <w:p w:rsidR="00EA3BBB" w:rsidRPr="000C106F" w:rsidRDefault="00EA3BBB" w:rsidP="00EA3BBB">
      <w:pPr>
        <w:spacing w:after="0" w:line="240" w:lineRule="auto"/>
        <w:ind w:right="-284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>Osim ako mu je sukladno s posebnim propisima odobrena odgoda plaćanja navedenih obveza.</w:t>
      </w:r>
    </w:p>
    <w:p w:rsidR="00EA3BBB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EA3BBB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  <w:r>
        <w:rPr>
          <w:rFonts w:cs="Calibri"/>
          <w:bCs/>
          <w:lang w:bidi="hr-HR"/>
        </w:rPr>
        <w:t>Također izjavljujem da:</w:t>
      </w:r>
    </w:p>
    <w:p w:rsidR="00485B9D" w:rsidRDefault="00485B9D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:rsidR="00485B9D" w:rsidRPr="000C106F" w:rsidRDefault="00485B9D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  <w:bookmarkStart w:id="0" w:name="_GoBack"/>
      <w:bookmarkEnd w:id="0"/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4.1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prekršio primjenjive obveze u području prava okoliša, socijalnog i radnog prava, uključujući kolektivne ugovore, a osobito obvezu isplate ugovorene plaće, ili odredbama međunarodnog prava okoliša, socijalnog i radnog prava navedenim u Prilogu XI. Zakona o javnoj nabavi,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4.2</w:t>
      </w:r>
      <w:r w:rsidRPr="003B3AC6">
        <w:rPr>
          <w:rFonts w:cs="Calibri"/>
        </w:rPr>
        <w:t xml:space="preserve"> nad gospodarskim subjektom</w:t>
      </w:r>
      <w:r>
        <w:rPr>
          <w:rFonts w:cs="Calibri"/>
        </w:rPr>
        <w:t xml:space="preserve"> nije</w:t>
      </w:r>
      <w:r w:rsidRPr="003B3AC6">
        <w:rPr>
          <w:rFonts w:cs="Calibri"/>
        </w:rPr>
        <w:t xml:space="preserve"> otvoren stečajni postupak, ako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4.3</w:t>
      </w:r>
      <w:r w:rsidRPr="003B3AC6">
        <w:rPr>
          <w:rFonts w:cs="Calibri"/>
        </w:rPr>
        <w:tab/>
        <w:t>gospodarski subjekt</w:t>
      </w:r>
      <w:r>
        <w:rPr>
          <w:rFonts w:cs="Calibri"/>
        </w:rPr>
        <w:t xml:space="preserve"> nije </w:t>
      </w:r>
      <w:r w:rsidRPr="003B3AC6">
        <w:rPr>
          <w:rFonts w:cs="Calibri"/>
        </w:rPr>
        <w:t xml:space="preserve"> kriv za teški profesionalni propust koji dovodi u pitanje njegov integritet,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4.4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sklopio sporazum s drugim gospodarskim subjektima kojima je cilj narušavanje tržišnog natjecanja,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4.5.</w:t>
      </w:r>
      <w:r w:rsidRPr="003B3AC6">
        <w:rPr>
          <w:rFonts w:cs="Calibri"/>
        </w:rPr>
        <w:tab/>
        <w:t>se sukob interesa s gospodarskim subjektima može učinkovito ukloniti drugim, manje drastičnim mjerama,</w:t>
      </w:r>
      <w:r>
        <w:rPr>
          <w:rFonts w:cs="Calibri"/>
        </w:rPr>
        <w:t xml:space="preserve"> od isključenja od gospodarskog subjekta iz nabave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4.6</w:t>
      </w:r>
      <w:r w:rsidRPr="003B3AC6">
        <w:rPr>
          <w:rFonts w:cs="Calibri"/>
        </w:rPr>
        <w:tab/>
        <w:t>se narušavanje tržišnog natjecanja, zbog prethodnog sudjelovanja gospodarskog subjekta u pripremi postupka nabave može ukloniti drugim, manje drastičnim mjerama</w:t>
      </w:r>
      <w:r>
        <w:rPr>
          <w:rFonts w:cs="Calibri"/>
        </w:rPr>
        <w:t xml:space="preserve"> od isključenja gospodarskog subjekta iz nabave</w:t>
      </w:r>
      <w:r w:rsidRPr="003B3AC6">
        <w:rPr>
          <w:rFonts w:cs="Calibri"/>
        </w:rPr>
        <w:t>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</w:t>
      </w:r>
      <w:r w:rsidRPr="003B3AC6">
        <w:rPr>
          <w:rFonts w:cs="Calibri"/>
        </w:rPr>
        <w:t>.7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ne </w:t>
      </w:r>
      <w:r w:rsidRPr="003B3AC6">
        <w:rPr>
          <w:rFonts w:cs="Calibri"/>
        </w:rPr>
        <w:t>pokaže značajne ili opetovane nedostatke tijekom provedbe bitnih zahtjeva iz prethodnog ugovora o javnoj nabavi čija je posljedica bila prijevremeni raskid tog ugovora, naknada štete ili druga slična sankcija,</w:t>
      </w:r>
    </w:p>
    <w:p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</w:t>
      </w:r>
      <w:r w:rsidRPr="003B3AC6">
        <w:rPr>
          <w:rFonts w:cs="Calibri"/>
        </w:rPr>
        <w:t>.8</w:t>
      </w:r>
      <w:r w:rsidRPr="003B3AC6">
        <w:rPr>
          <w:rFonts w:cs="Calibri"/>
        </w:rPr>
        <w:tab/>
        <w:t xml:space="preserve"> 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 xml:space="preserve">kriv za ozbiljno pogrešno prikazivanje činjenica pri dostavljanju podataka potrebnih za provjeru odsutnosti osnova za isključenje ili za ispunjenje kriterija za odabir gospodarskog subjekta, 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</w:t>
      </w:r>
      <w:r w:rsidRPr="003B3AC6">
        <w:rPr>
          <w:rFonts w:cs="Calibri"/>
        </w:rPr>
        <w:t>9</w:t>
      </w:r>
      <w:r w:rsidRPr="003B3AC6">
        <w:rPr>
          <w:rFonts w:cs="Calibri"/>
        </w:rPr>
        <w:tab/>
        <w:t xml:space="preserve"> 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pokušao na nepropisan način utjecati na postupak odlučivanja naručitelja, doći do povjerljivih podataka koji bi mu mogli omogućiti nepoštenu prednost u postupku nabave ili je iz nemara dostavio pogrešnu informaciju koja može imati materijalni utjecaj na odluke koje se tiču isključenja, odabira gospodarskog subjekta ili dodjele ugovora.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PONUDITELJA: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A3BBB" w:rsidRPr="000C106F" w:rsidTr="004A0E1B">
        <w:tc>
          <w:tcPr>
            <w:tcW w:w="9493" w:type="dxa"/>
          </w:tcPr>
          <w:p w:rsidR="00EA3BBB" w:rsidRPr="000C106F" w:rsidRDefault="00EA3BBB" w:rsidP="004A0E1B">
            <w:pPr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highlight w:val="lightGray"/>
                <w:lang w:bidi="hr-HR"/>
              </w:rPr>
            </w:pPr>
            <w:r w:rsidRPr="000C106F">
              <w:rPr>
                <w:rFonts w:cs="Calibri"/>
                <w:bCs/>
              </w:rPr>
              <w:t xml:space="preserve">VAŽNO! - </w:t>
            </w:r>
            <w:r w:rsidRPr="000C106F">
              <w:rPr>
                <w:rFonts w:cs="Calibri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0C106F">
              <w:rPr>
                <w:rFonts w:cs="Calibri"/>
                <w:bCs/>
                <w:lang w:bidi="hr-HR"/>
              </w:rPr>
              <w:t>podugovaratelja</w:t>
            </w:r>
            <w:proofErr w:type="spellEnd"/>
            <w:r w:rsidRPr="000C106F">
              <w:rPr>
                <w:rFonts w:cs="Calibri"/>
                <w:bCs/>
                <w:lang w:bidi="hr-HR"/>
              </w:rPr>
              <w:t xml:space="preserve">, izjavu mora potpisati i svaki </w:t>
            </w:r>
            <w:proofErr w:type="spellStart"/>
            <w:r w:rsidRPr="000C106F">
              <w:rPr>
                <w:rFonts w:cs="Calibri"/>
                <w:bCs/>
                <w:lang w:bidi="hr-HR"/>
              </w:rPr>
              <w:t>podugovaratelj</w:t>
            </w:r>
            <w:proofErr w:type="spellEnd"/>
            <w:r w:rsidRPr="000C106F">
              <w:rPr>
                <w:rFonts w:cs="Calibri"/>
                <w:bCs/>
                <w:lang w:bidi="hr-HR"/>
              </w:rPr>
              <w:t xml:space="preserve">. Izjavu potpisuje svaki gospodarski subjekt kako je traženo Dokumentacijom o nabavi. </w:t>
            </w:r>
          </w:p>
        </w:tc>
      </w:tr>
    </w:tbl>
    <w:p w:rsidR="00EA3BBB" w:rsidRPr="000C106F" w:rsidRDefault="00EA3BBB" w:rsidP="00EA3BBB">
      <w:pPr>
        <w:spacing w:after="0" w:line="240" w:lineRule="auto"/>
        <w:ind w:right="-284"/>
        <w:rPr>
          <w:rFonts w:cs="Calibri"/>
          <w:u w:val="single"/>
        </w:rPr>
      </w:pPr>
    </w:p>
    <w:sectPr w:rsidR="00EA3BBB" w:rsidRPr="000C106F" w:rsidSect="00485B9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D2" w:rsidRDefault="002914D2" w:rsidP="00776CED">
      <w:pPr>
        <w:spacing w:after="0" w:line="240" w:lineRule="auto"/>
      </w:pPr>
      <w:r>
        <w:separator/>
      </w:r>
    </w:p>
  </w:endnote>
  <w:endnote w:type="continuationSeparator" w:id="0">
    <w:p w:rsidR="002914D2" w:rsidRDefault="002914D2" w:rsidP="0077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CED" w:rsidRPr="001E6429" w:rsidRDefault="00776CED" w:rsidP="00776CED">
    <w:pPr>
      <w:pStyle w:val="Podnoje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proofErr w:type="spellStart"/>
    <w:r w:rsidRPr="001E6429">
      <w:rPr>
        <w:rFonts w:ascii="Book Antiqua" w:hAnsi="Book Antiqua"/>
        <w:b/>
        <w:smallCaps/>
        <w:sz w:val="14"/>
      </w:rPr>
      <w:t>Lead</w:t>
    </w:r>
    <w:proofErr w:type="spellEnd"/>
    <w:r w:rsidRPr="001E6429">
      <w:rPr>
        <w:rFonts w:ascii="Book Antiqua" w:hAnsi="Book Antiqua"/>
        <w:b/>
        <w:smallCaps/>
        <w:sz w:val="14"/>
      </w:rPr>
      <w:t xml:space="preserve"> </w:t>
    </w:r>
    <w:proofErr w:type="spellStart"/>
    <w:r w:rsidRPr="001E6429">
      <w:rPr>
        <w:rFonts w:ascii="Book Antiqua" w:hAnsi="Book Antiqua"/>
        <w:b/>
        <w:smallCaps/>
        <w:sz w:val="14"/>
      </w:rPr>
      <w:t>Beneficiary</w:t>
    </w:r>
    <w:proofErr w:type="spellEnd"/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:rsidR="00776CED" w:rsidRPr="00E438C0" w:rsidRDefault="00776CED" w:rsidP="00485B9D">
    <w:pPr>
      <w:pStyle w:val="Podnoje"/>
      <w:tabs>
        <w:tab w:val="clear" w:pos="4536"/>
        <w:tab w:val="clear" w:pos="9072"/>
        <w:tab w:val="left" w:pos="4056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85B9D">
      <w:tab/>
    </w:r>
    <w:r>
      <w:tab/>
    </w:r>
    <w:r w:rsidRPr="004267CD">
      <w:rPr>
        <w:noProof/>
      </w:rPr>
      <w:drawing>
        <wp:inline distT="0" distB="0" distL="0" distR="0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6CED" w:rsidRPr="00776CED" w:rsidRDefault="00776CED" w:rsidP="00776CED">
    <w:pPr>
      <w:pStyle w:val="StandardWeb"/>
      <w:shd w:val="clear" w:color="auto" w:fill="FEFEFE"/>
      <w:spacing w:after="240" w:afterAutospacing="0"/>
      <w:ind w:left="567"/>
      <w:rPr>
        <w:rFonts w:ascii="Book Antiqua" w:hAnsi="Book Antiqua"/>
        <w:sz w:val="18"/>
        <w:szCs w:val="22"/>
      </w:rPr>
    </w:pPr>
    <w:r w:rsidRPr="001E6429">
      <w:rPr>
        <w:rFonts w:ascii="Book Antiqua" w:hAnsi="Book Antiqua"/>
        <w:sz w:val="18"/>
        <w:szCs w:val="22"/>
      </w:rPr>
      <w:t xml:space="preserve">Udruga za zaštitu prirode i okoliša </w:t>
    </w:r>
    <w:r w:rsidRPr="001E6429">
      <w:rPr>
        <w:rFonts w:ascii="Book Antiqua" w:hAnsi="Book Antiqua"/>
        <w:b/>
        <w:sz w:val="18"/>
        <w:szCs w:val="22"/>
      </w:rPr>
      <w:t>Zeleni Osijek</w:t>
    </w:r>
    <w:r w:rsidRPr="001E6429">
      <w:rPr>
        <w:rFonts w:ascii="Book Antiqua" w:hAnsi="Book Antiqua"/>
        <w:sz w:val="18"/>
        <w:szCs w:val="22"/>
      </w:rPr>
      <w:t>, Opatijska 26 f, 31000 Osijek,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tel</w:t>
    </w:r>
    <w:proofErr w:type="spellEnd"/>
    <w:r w:rsidRPr="001E6429">
      <w:rPr>
        <w:rFonts w:ascii="Book Antiqua" w:hAnsi="Book Antiqua"/>
        <w:sz w:val="18"/>
        <w:szCs w:val="22"/>
      </w:rPr>
      <w:t>: 031 565 180,</w:t>
    </w:r>
    <w:r>
      <w:rPr>
        <w:rFonts w:ascii="Book Antiqua" w:hAnsi="Book Antiqua"/>
        <w:sz w:val="18"/>
        <w:szCs w:val="22"/>
      </w:rPr>
      <w:t xml:space="preserve"> </w:t>
    </w:r>
    <w:r>
      <w:rPr>
        <w:rFonts w:ascii="Book Antiqua" w:hAnsi="Book Antiqua"/>
        <w:sz w:val="18"/>
        <w:szCs w:val="22"/>
      </w:rPr>
      <w:br/>
    </w:r>
    <w:r w:rsidRPr="001E6429">
      <w:rPr>
        <w:rFonts w:ascii="Book Antiqua" w:hAnsi="Book Antiqua"/>
        <w:sz w:val="18"/>
        <w:szCs w:val="22"/>
      </w:rPr>
      <w:t>faks: 031 565 182,</w:t>
    </w:r>
    <w:r>
      <w:rPr>
        <w:rFonts w:ascii="Book Antiqua" w:hAnsi="Book Antiqua"/>
        <w:sz w:val="18"/>
        <w:szCs w:val="22"/>
      </w:rPr>
      <w:t xml:space="preserve"> </w:t>
    </w:r>
    <w:proofErr w:type="spellStart"/>
    <w:r w:rsidRPr="001E6429">
      <w:rPr>
        <w:rFonts w:ascii="Book Antiqua" w:hAnsi="Book Antiqua"/>
        <w:sz w:val="18"/>
        <w:szCs w:val="22"/>
      </w:rPr>
      <w:t>e-mail:</w:t>
    </w:r>
    <w:hyperlink r:id="rId4" w:tgtFrame="_blank" w:history="1">
      <w:r w:rsidRPr="001E6429">
        <w:rPr>
          <w:rStyle w:val="Hiperveza"/>
          <w:rFonts w:ascii="Book Antiqua" w:hAnsi="Book Antiqua"/>
          <w:sz w:val="18"/>
          <w:szCs w:val="22"/>
        </w:rPr>
        <w:t>zeleniosijek@zeleni-osijek.hr</w:t>
      </w:r>
      <w:proofErr w:type="spellEnd"/>
    </w:hyperlink>
    <w:r w:rsidRPr="001E6429">
      <w:rPr>
        <w:rFonts w:ascii="Book Antiqua" w:hAnsi="Book Antiqua"/>
        <w:sz w:val="18"/>
        <w:szCs w:val="22"/>
      </w:rPr>
      <w:t xml:space="preserve">, </w:t>
    </w:r>
    <w:hyperlink r:id="rId5" w:history="1">
      <w:r w:rsidRPr="00D62D6C">
        <w:rPr>
          <w:rStyle w:val="Hiperveza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D2" w:rsidRDefault="002914D2" w:rsidP="00776CED">
      <w:pPr>
        <w:spacing w:after="0" w:line="240" w:lineRule="auto"/>
      </w:pPr>
      <w:r>
        <w:separator/>
      </w:r>
    </w:p>
  </w:footnote>
  <w:footnote w:type="continuationSeparator" w:id="0">
    <w:p w:rsidR="002914D2" w:rsidRDefault="002914D2" w:rsidP="0077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CED" w:rsidRPr="00202724" w:rsidRDefault="00776CED" w:rsidP="00776CED">
    <w:pPr>
      <w:pStyle w:val="Zaglavlj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6CED" w:rsidRDefault="00776C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B2AA2"/>
    <w:rsid w:val="002914D2"/>
    <w:rsid w:val="00485B9D"/>
    <w:rsid w:val="006F2ECB"/>
    <w:rsid w:val="00776CED"/>
    <w:rsid w:val="00EA3BBB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0BFCC"/>
  <w15:chartTrackingRefBased/>
  <w15:docId w15:val="{298FF088-3F88-412E-B848-4D716EA4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"/>
    <w:basedOn w:val="Normal"/>
    <w:link w:val="OdlomakpopisaChar"/>
    <w:uiPriority w:val="99"/>
    <w:qFormat/>
    <w:rsid w:val="00EA3BBB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99"/>
    <w:locked/>
    <w:rsid w:val="00EA3BBB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7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6CE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77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6CED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776CED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776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2018-12-20T13:51:00Z</dcterms:created>
  <dcterms:modified xsi:type="dcterms:W3CDTF">2018-12-20T14:32:00Z</dcterms:modified>
</cp:coreProperties>
</file>